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Памятка для психологов по общей профилактике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суицидального поведения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Превенция суицидов включает в себя профилактику и своевременное выявление суицидального риска.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Формы и методы работы по осуществлению превентивных мер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1. Профилактические мероприятия</w:t>
      </w:r>
      <w:r>
        <w:rPr>
          <w:rFonts w:cs="Arial" w:ascii="Arial" w:hAnsi="Arial"/>
          <w:sz w:val="26"/>
          <w:szCs w:val="26"/>
        </w:rPr>
        <w:t>: психологическое просвещение,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6"/>
          <w:szCs w:val="26"/>
        </w:rPr>
        <w:t>тренинги, семинары, групповые дискуссии, разработка антикризисного плана действий в экстремальных и чрезвычайных ситуациях в образовательной организации.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  <w:b/>
          <w:bCs/>
          <w:iCs/>
          <w:sz w:val="26"/>
          <w:szCs w:val="26"/>
        </w:rPr>
        <w:t xml:space="preserve">Индивидуальная и групповая работа с обучающимися </w:t>
      </w:r>
      <w:r>
        <w:rPr>
          <w:rFonts w:cs="Arial" w:ascii="Arial" w:hAnsi="Arial"/>
          <w:sz w:val="26"/>
          <w:szCs w:val="26"/>
        </w:rPr>
        <w:t xml:space="preserve">включает: планирование и проведение </w:t>
      </w:r>
      <w:r>
        <w:rPr>
          <w:rFonts w:cs="Arial" w:ascii="Arial" w:hAnsi="Arial"/>
          <w:iCs/>
          <w:sz w:val="26"/>
          <w:szCs w:val="26"/>
        </w:rPr>
        <w:t xml:space="preserve">тренингов в группе, индивидуальные консультации </w:t>
      </w:r>
      <w:r>
        <w:rPr>
          <w:rFonts w:cs="Arial" w:ascii="Arial" w:hAnsi="Arial"/>
          <w:sz w:val="26"/>
          <w:szCs w:val="26"/>
        </w:rPr>
        <w:t xml:space="preserve">с детьми с целью нормализации их психического и психофизиологического состояния, простраивание позитивного будущего, формирование позитивного мышления, оптимизацию взаимоотношений с родителями и сверстниками. Этому способствует организация </w:t>
      </w:r>
      <w:r>
        <w:rPr>
          <w:rFonts w:cs="Arial" w:ascii="Arial" w:hAnsi="Arial"/>
          <w:i w:val="false"/>
          <w:iCs w:val="false"/>
          <w:sz w:val="26"/>
          <w:szCs w:val="26"/>
        </w:rPr>
        <w:t xml:space="preserve">группового обсуждения </w:t>
      </w:r>
      <w:r>
        <w:rPr>
          <w:rFonts w:cs="Arial" w:ascii="Arial" w:hAnsi="Arial"/>
          <w:bCs/>
          <w:i w:val="false"/>
          <w:iCs w:val="false"/>
          <w:sz w:val="26"/>
          <w:szCs w:val="26"/>
        </w:rPr>
        <w:t>защитных факторов личности</w:t>
      </w:r>
      <w:r>
        <w:rPr>
          <w:rFonts w:cs="Arial" w:ascii="Arial" w:hAnsi="Arial"/>
          <w:i w:val="false"/>
          <w:iCs w:val="false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с использованием, например, методики «Ценить настоящее», цикла занятий «Позитивное мышление», «Работа с эмоциями», обучение саморегуляции, а также показ и обсуждение фильмов в школьном кино-кафе </w:t>
      </w:r>
      <w:r>
        <w:rPr>
          <w:rFonts w:cs="Arial" w:ascii="Arial" w:hAnsi="Arial"/>
          <w:sz w:val="26"/>
          <w:szCs w:val="26"/>
        </w:rPr>
        <w:t>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b/>
          <w:bCs/>
          <w:iCs/>
          <w:sz w:val="26"/>
          <w:szCs w:val="26"/>
        </w:rPr>
        <w:t xml:space="preserve">Защитные (антисуицидальные) факторы личности </w:t>
      </w:r>
      <w:r>
        <w:rPr>
          <w:rFonts w:cs="Arial" w:ascii="Arial" w:hAnsi="Arial"/>
          <w:iCs/>
          <w:sz w:val="26"/>
          <w:szCs w:val="26"/>
        </w:rPr>
        <w:t>– это установки и переживания, препятствующие реализации суицидальных намерений.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Среди них следует отметить следующие: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Поддержка семьи, друзей, других важных в жизни человека людей.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Религиозные, культурные и этнические ценности.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Приносящая удовлетворение жизнь в обществе, школьном коллективе.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Социальная интеграция, например, через учебную деятельность, конструктивное использование досуга.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Интенсивная эмоциональная привязанность к значимым близким.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Выраженное чувство долга, обязательность.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Концентрация внимания на состоянии собственного здоровья, боязнь причинения себе физического страдания или ущерба.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" w:ascii="Arial" w:hAnsi="Arial"/>
          <w:iCs/>
          <w:sz w:val="26"/>
          <w:szCs w:val="26"/>
        </w:rPr>
        <w:t>Зависимость от общественного мнения и избежание осуждения со стороны окружающих; представления о нелепости, греховности суицида.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Представление о неиспользованных жизненных возможностях.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cs="Arial" w:ascii="Arial" w:hAnsi="Arial"/>
          <w:iCs/>
          <w:sz w:val="26"/>
          <w:szCs w:val="26"/>
        </w:rPr>
        <w:t>Наличие творческих планов, тенденций, замыслов.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" w:ascii="Arial" w:hAnsi="Arial"/>
          <w:iCs/>
          <w:sz w:val="26"/>
          <w:szCs w:val="26"/>
        </w:rPr>
        <w:t>Наличие эстетических критериев в мышлении (нежелание выглядеть некрасивым даже после смерти).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b/>
          <w:b/>
          <w:bCs/>
          <w:iCs/>
          <w:sz w:val="26"/>
          <w:szCs w:val="26"/>
        </w:rPr>
      </w:pPr>
      <w:r>
        <w:rPr>
          <w:rFonts w:cs="Arial" w:ascii="Arial" w:hAnsi="Arial"/>
          <w:b/>
          <w:bCs/>
          <w:iCs/>
          <w:sz w:val="26"/>
          <w:szCs w:val="26"/>
        </w:rPr>
        <w:t>1.2. Совместная деятельность с классными руководителями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В целях повышения психологической компетентности педагогов (классных руководителей) необходимо проводить на педагогических советах информирование учителей о видах суицида, психологических особенностях подросткового и юношеского возраста, «знаках», говорящих о суицидальных намерениях, создании безопасной атмосферы в образовательной организации, возможностях получения помощи (для всех субъектов образовательной среды) в преодолении кризиса (с указанием мест ее получения).</w:t>
      </w:r>
    </w:p>
    <w:p>
      <w:pPr>
        <w:pStyle w:val="Normal"/>
        <w:spacing w:lineRule="auto" w:line="240" w:before="0" w:after="0"/>
        <w:ind w:firstLine="851"/>
        <w:rPr/>
      </w:pPr>
      <w:r>
        <w:rPr>
          <w:rFonts w:cs="Arial" w:ascii="Arial" w:hAnsi="Arial"/>
          <w:b/>
          <w:bCs/>
          <w:sz w:val="26"/>
          <w:szCs w:val="26"/>
        </w:rPr>
        <w:t>1.3. Сотрудничество с родителями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Планировать выступления на родительских собраниях с целью информирования их о психологических особенностях подросткового и юношеского возраста, особенностях поведения подростка, имеющего суицидальные намерения, создании безопасной психологической атмосферы в семье, имеющихся психологических службах.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С целью оценки психоэмоционального состояния детей можно посоветовать родителям прим</w:t>
      </w:r>
      <w:bookmarkStart w:id="0" w:name="_GoBack1"/>
      <w:bookmarkEnd w:id="0"/>
      <w:r>
        <w:rPr>
          <w:rFonts w:cs="Arial" w:ascii="Arial" w:hAnsi="Arial"/>
          <w:sz w:val="26"/>
          <w:szCs w:val="26"/>
        </w:rPr>
        <w:t>енять «Родительскую анкету для оценки травматических переживаний детей» Тарабриной Н.В.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2" w:hanging="432"/>
      </w:pPr>
      <w:rPr>
        <w:i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6"/>
        <w:i w:val="false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i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i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/>
        <w:b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i/>
    </w:rPr>
  </w:style>
  <w:style w:type="character" w:styleId="ListLabel2">
    <w:name w:val="ListLabel 2"/>
    <w:qFormat/>
    <w:rPr>
      <w:rFonts w:ascii="Arial" w:hAnsi="Arial"/>
      <w:b/>
      <w:i w:val="false"/>
      <w:sz w:val="26"/>
    </w:rPr>
  </w:style>
  <w:style w:type="character" w:styleId="ListLabel3">
    <w:name w:val="ListLabel 3"/>
    <w:qFormat/>
    <w:rPr>
      <w:b/>
      <w:i/>
    </w:rPr>
  </w:style>
  <w:style w:type="character" w:styleId="ListLabel4">
    <w:name w:val="ListLabel 4"/>
    <w:qFormat/>
    <w:rPr>
      <w:b/>
      <w:i/>
    </w:rPr>
  </w:style>
  <w:style w:type="character" w:styleId="ListLabel5">
    <w:name w:val="ListLabel 5"/>
    <w:qFormat/>
    <w:rPr>
      <w:b/>
      <w:i/>
    </w:rPr>
  </w:style>
  <w:style w:type="character" w:styleId="ListLabel6">
    <w:name w:val="ListLabel 6"/>
    <w:qFormat/>
    <w:rPr>
      <w:b/>
      <w:i/>
    </w:rPr>
  </w:style>
  <w:style w:type="character" w:styleId="ListLabel7">
    <w:name w:val="ListLabel 7"/>
    <w:qFormat/>
    <w:rPr>
      <w:b/>
      <w:i/>
    </w:rPr>
  </w:style>
  <w:style w:type="character" w:styleId="ListLabel8">
    <w:name w:val="ListLabel 8"/>
    <w:qFormat/>
    <w:rPr>
      <w:b/>
      <w:i/>
    </w:rPr>
  </w:style>
  <w:style w:type="character" w:styleId="ListLabel9">
    <w:name w:val="ListLabel 9"/>
    <w:qFormat/>
    <w:rPr>
      <w:b/>
      <w:i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181717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i/>
    </w:rPr>
  </w:style>
  <w:style w:type="character" w:styleId="ListLabel18">
    <w:name w:val="ListLabel 18"/>
    <w:qFormat/>
    <w:rPr>
      <w:b/>
      <w:i w:val="false"/>
      <w:sz w:val="26"/>
    </w:rPr>
  </w:style>
  <w:style w:type="character" w:styleId="ListLabel19">
    <w:name w:val="ListLabel 19"/>
    <w:qFormat/>
    <w:rPr>
      <w:b/>
      <w:i/>
    </w:rPr>
  </w:style>
  <w:style w:type="character" w:styleId="ListLabel20">
    <w:name w:val="ListLabel 20"/>
    <w:qFormat/>
    <w:rPr>
      <w:b/>
      <w:i/>
    </w:rPr>
  </w:style>
  <w:style w:type="character" w:styleId="ListLabel21">
    <w:name w:val="ListLabel 21"/>
    <w:qFormat/>
    <w:rPr>
      <w:b/>
      <w:i/>
    </w:rPr>
  </w:style>
  <w:style w:type="character" w:styleId="ListLabel22">
    <w:name w:val="ListLabel 22"/>
    <w:qFormat/>
    <w:rPr>
      <w:b/>
      <w:i/>
    </w:rPr>
  </w:style>
  <w:style w:type="character" w:styleId="ListLabel23">
    <w:name w:val="ListLabel 23"/>
    <w:qFormat/>
    <w:rPr>
      <w:b/>
      <w:i/>
    </w:rPr>
  </w:style>
  <w:style w:type="character" w:styleId="ListLabel24">
    <w:name w:val="ListLabel 24"/>
    <w:qFormat/>
    <w:rPr>
      <w:b/>
      <w:i/>
    </w:rPr>
  </w:style>
  <w:style w:type="character" w:styleId="ListLabel25">
    <w:name w:val="ListLabel 25"/>
    <w:qFormat/>
    <w:rPr>
      <w:b/>
      <w:i/>
    </w:rPr>
  </w:style>
  <w:style w:type="character" w:styleId="ListLabel26">
    <w:name w:val="ListLabel 26"/>
    <w:qFormat/>
    <w:rPr>
      <w:rFonts w:ascii="Arial" w:hAnsi="Arial" w:cs="Symbol"/>
      <w:sz w:val="26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b23f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LibreOffice/5.2.3.3$Windows_x86 LibreOffice_project/d54a8868f08a7b39642414cf2c8ef2f228f780cf</Application>
  <Pages>2</Pages>
  <Words>348</Words>
  <Characters>2754</Characters>
  <CharactersWithSpaces>3067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2017-02-08T11:13:00Z</dcterms:created>
  <dc:creator>user</dc:creator>
  <dc:description/>
  <dc:language>ru-RU</dc:language>
  <cp:lastModifiedBy/>
  <dcterms:modified xsi:type="dcterms:W3CDTF">2017-02-08T18:11:33Z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