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7A4" w:rsidRPr="003B67A4" w:rsidRDefault="003B67A4" w:rsidP="003B67A4">
      <w:pPr>
        <w:spacing w:before="161" w:after="161" w:line="240" w:lineRule="auto"/>
        <w:outlineLvl w:val="0"/>
        <w:rPr>
          <w:rFonts w:ascii="Arial" w:eastAsia="Times New Roman" w:hAnsi="Arial" w:cs="Arial"/>
          <w:color w:val="333333"/>
          <w:kern w:val="36"/>
          <w:sz w:val="48"/>
          <w:szCs w:val="48"/>
          <w:shd w:val="clear" w:color="auto" w:fill="FFFFFF"/>
          <w:lang w:eastAsia="ru-RU"/>
        </w:rPr>
      </w:pPr>
      <w:r w:rsidRPr="003B67A4">
        <w:rPr>
          <w:rFonts w:ascii="Arial" w:eastAsia="Times New Roman" w:hAnsi="Arial" w:cs="Arial"/>
          <w:color w:val="333333"/>
          <w:kern w:val="36"/>
          <w:sz w:val="48"/>
          <w:szCs w:val="48"/>
          <w:shd w:val="clear" w:color="auto" w:fill="FFFFFF"/>
          <w:lang w:eastAsia="ru-RU"/>
        </w:rPr>
        <w:t>Тест жизнестойкости (</w:t>
      </w:r>
      <w:proofErr w:type="spellStart"/>
      <w:r w:rsidRPr="003B67A4">
        <w:rPr>
          <w:rFonts w:ascii="Arial" w:eastAsia="Times New Roman" w:hAnsi="Arial" w:cs="Arial"/>
          <w:color w:val="333333"/>
          <w:kern w:val="36"/>
          <w:sz w:val="48"/>
          <w:szCs w:val="48"/>
          <w:shd w:val="clear" w:color="auto" w:fill="FFFFFF"/>
          <w:lang w:eastAsia="ru-RU"/>
        </w:rPr>
        <w:t>С.Мадди</w:t>
      </w:r>
      <w:proofErr w:type="spellEnd"/>
      <w:r w:rsidRPr="003B67A4">
        <w:rPr>
          <w:rFonts w:ascii="Arial" w:eastAsia="Times New Roman" w:hAnsi="Arial" w:cs="Arial"/>
          <w:color w:val="333333"/>
          <w:kern w:val="36"/>
          <w:sz w:val="48"/>
          <w:szCs w:val="48"/>
          <w:shd w:val="clear" w:color="auto" w:fill="FFFFFF"/>
          <w:lang w:eastAsia="ru-RU"/>
        </w:rPr>
        <w:t xml:space="preserve"> в адаптации </w:t>
      </w:r>
      <w:proofErr w:type="spellStart"/>
      <w:r w:rsidRPr="003B67A4">
        <w:rPr>
          <w:rFonts w:ascii="Arial" w:eastAsia="Times New Roman" w:hAnsi="Arial" w:cs="Arial"/>
          <w:color w:val="333333"/>
          <w:kern w:val="36"/>
          <w:sz w:val="48"/>
          <w:szCs w:val="48"/>
          <w:shd w:val="clear" w:color="auto" w:fill="FFFFFF"/>
          <w:lang w:eastAsia="ru-RU"/>
        </w:rPr>
        <w:t>Д.Леонтьева</w:t>
      </w:r>
      <w:proofErr w:type="spellEnd"/>
      <w:r w:rsidRPr="003B67A4">
        <w:rPr>
          <w:rFonts w:ascii="Arial" w:eastAsia="Times New Roman" w:hAnsi="Arial" w:cs="Arial"/>
          <w:color w:val="333333"/>
          <w:kern w:val="36"/>
          <w:sz w:val="48"/>
          <w:szCs w:val="48"/>
          <w:shd w:val="clear" w:color="auto" w:fill="FFFFFF"/>
          <w:lang w:eastAsia="ru-RU"/>
        </w:rPr>
        <w:t>)</w:t>
      </w:r>
    </w:p>
    <w:p w:rsidR="003B67A4" w:rsidRPr="003B67A4" w:rsidRDefault="003B67A4" w:rsidP="003B67A4">
      <w:pPr>
        <w:spacing w:after="199" w:line="240" w:lineRule="auto"/>
        <w:jc w:val="center"/>
        <w:outlineLvl w:val="1"/>
        <w:rPr>
          <w:rFonts w:ascii="Arial" w:eastAsia="Times New Roman" w:hAnsi="Arial" w:cs="Arial"/>
          <w:color w:val="333333"/>
          <w:sz w:val="36"/>
          <w:szCs w:val="36"/>
          <w:shd w:val="clear" w:color="auto" w:fill="FFFFFF"/>
          <w:lang w:eastAsia="ru-RU"/>
        </w:rPr>
      </w:pPr>
      <w:r w:rsidRPr="003B67A4">
        <w:rPr>
          <w:rFonts w:ascii="Arial" w:eastAsia="Times New Roman" w:hAnsi="Arial" w:cs="Arial"/>
          <w:b/>
          <w:bCs/>
          <w:color w:val="333333"/>
          <w:sz w:val="36"/>
          <w:szCs w:val="36"/>
          <w:shd w:val="clear" w:color="auto" w:fill="FFFFFF"/>
          <w:lang w:eastAsia="ru-RU"/>
        </w:rPr>
        <w:t>Методика диагностики жизнестойкости (</w:t>
      </w:r>
      <w:proofErr w:type="spellStart"/>
      <w:r w:rsidRPr="003B67A4">
        <w:rPr>
          <w:rFonts w:ascii="Arial" w:eastAsia="Times New Roman" w:hAnsi="Arial" w:cs="Arial"/>
          <w:b/>
          <w:bCs/>
          <w:color w:val="333333"/>
          <w:sz w:val="36"/>
          <w:szCs w:val="36"/>
          <w:shd w:val="clear" w:color="auto" w:fill="FFFFFF"/>
          <w:lang w:eastAsia="ru-RU"/>
        </w:rPr>
        <w:t>С.Мадди</w:t>
      </w:r>
      <w:proofErr w:type="spellEnd"/>
      <w:r w:rsidRPr="003B67A4">
        <w:rPr>
          <w:rFonts w:ascii="Arial" w:eastAsia="Times New Roman" w:hAnsi="Arial" w:cs="Arial"/>
          <w:b/>
          <w:bCs/>
          <w:color w:val="333333"/>
          <w:sz w:val="36"/>
          <w:szCs w:val="36"/>
          <w:shd w:val="clear" w:color="auto" w:fill="FFFFFF"/>
          <w:lang w:eastAsia="ru-RU"/>
        </w:rPr>
        <w:t xml:space="preserve"> в адаптации </w:t>
      </w:r>
      <w:proofErr w:type="spellStart"/>
      <w:r w:rsidRPr="003B67A4">
        <w:rPr>
          <w:rFonts w:ascii="Arial" w:eastAsia="Times New Roman" w:hAnsi="Arial" w:cs="Arial"/>
          <w:b/>
          <w:bCs/>
          <w:color w:val="333333"/>
          <w:sz w:val="36"/>
          <w:szCs w:val="36"/>
          <w:shd w:val="clear" w:color="auto" w:fill="FFFFFF"/>
          <w:lang w:eastAsia="ru-RU"/>
        </w:rPr>
        <w:t>Д.Леонтьева</w:t>
      </w:r>
      <w:proofErr w:type="spellEnd"/>
      <w:r w:rsidRPr="003B67A4">
        <w:rPr>
          <w:rFonts w:ascii="Arial" w:eastAsia="Times New Roman" w:hAnsi="Arial" w:cs="Arial"/>
          <w:b/>
          <w:bCs/>
          <w:color w:val="333333"/>
          <w:sz w:val="36"/>
          <w:szCs w:val="36"/>
          <w:shd w:val="clear" w:color="auto" w:fill="FFFFFF"/>
          <w:lang w:eastAsia="ru-RU"/>
        </w:rPr>
        <w:t>)</w:t>
      </w:r>
    </w:p>
    <w:p w:rsidR="003B67A4" w:rsidRPr="003B67A4" w:rsidRDefault="003B67A4" w:rsidP="003B67A4">
      <w:pPr>
        <w:spacing w:before="240" w:after="240" w:line="240" w:lineRule="auto"/>
        <w:rPr>
          <w:rFonts w:ascii="Arial" w:eastAsia="Times New Roman" w:hAnsi="Arial" w:cs="Arial"/>
          <w:color w:val="484848"/>
          <w:sz w:val="23"/>
          <w:szCs w:val="23"/>
          <w:shd w:val="clear" w:color="auto" w:fill="FFFFFF"/>
          <w:lang w:eastAsia="ru-RU"/>
        </w:rPr>
      </w:pPr>
      <w:r w:rsidRPr="003B67A4">
        <w:rPr>
          <w:rFonts w:ascii="Arial" w:eastAsia="Times New Roman" w:hAnsi="Arial" w:cs="Arial"/>
          <w:color w:val="484848"/>
          <w:sz w:val="23"/>
          <w:szCs w:val="23"/>
          <w:shd w:val="clear" w:color="auto" w:fill="FFFFFF"/>
          <w:lang w:eastAsia="ru-RU"/>
        </w:rPr>
        <w:t xml:space="preserve">Тест жизнестойкости представляет собой адаптацию опросника </w:t>
      </w:r>
      <w:proofErr w:type="spellStart"/>
      <w:r w:rsidRPr="003B67A4">
        <w:rPr>
          <w:rFonts w:ascii="Arial" w:eastAsia="Times New Roman" w:hAnsi="Arial" w:cs="Arial"/>
          <w:color w:val="484848"/>
          <w:sz w:val="23"/>
          <w:szCs w:val="23"/>
          <w:shd w:val="clear" w:color="auto" w:fill="FFFFFF"/>
          <w:lang w:eastAsia="ru-RU"/>
        </w:rPr>
        <w:t>Hardiness</w:t>
      </w:r>
      <w:proofErr w:type="spellEnd"/>
      <w:r w:rsidRPr="003B67A4">
        <w:rPr>
          <w:rFonts w:ascii="Arial" w:eastAsia="Times New Roman" w:hAnsi="Arial" w:cs="Arial"/>
          <w:color w:val="484848"/>
          <w:sz w:val="23"/>
          <w:szCs w:val="23"/>
          <w:shd w:val="clear" w:color="auto" w:fill="FFFFFF"/>
          <w:lang w:eastAsia="ru-RU"/>
        </w:rPr>
        <w:t xml:space="preserve"> </w:t>
      </w:r>
      <w:proofErr w:type="spellStart"/>
      <w:r w:rsidRPr="003B67A4">
        <w:rPr>
          <w:rFonts w:ascii="Arial" w:eastAsia="Times New Roman" w:hAnsi="Arial" w:cs="Arial"/>
          <w:color w:val="484848"/>
          <w:sz w:val="23"/>
          <w:szCs w:val="23"/>
          <w:shd w:val="clear" w:color="auto" w:fill="FFFFFF"/>
          <w:lang w:eastAsia="ru-RU"/>
        </w:rPr>
        <w:t>Survey</w:t>
      </w:r>
      <w:proofErr w:type="spellEnd"/>
      <w:r w:rsidRPr="003B67A4">
        <w:rPr>
          <w:rFonts w:ascii="Arial" w:eastAsia="Times New Roman" w:hAnsi="Arial" w:cs="Arial"/>
          <w:color w:val="484848"/>
          <w:sz w:val="23"/>
          <w:szCs w:val="23"/>
          <w:shd w:val="clear" w:color="auto" w:fill="FFFFFF"/>
          <w:lang w:eastAsia="ru-RU"/>
        </w:rPr>
        <w:t xml:space="preserve">, разработанного американским психологом Сальваторе </w:t>
      </w:r>
      <w:proofErr w:type="spellStart"/>
      <w:r w:rsidRPr="003B67A4">
        <w:rPr>
          <w:rFonts w:ascii="Arial" w:eastAsia="Times New Roman" w:hAnsi="Arial" w:cs="Arial"/>
          <w:color w:val="484848"/>
          <w:sz w:val="23"/>
          <w:szCs w:val="23"/>
          <w:shd w:val="clear" w:color="auto" w:fill="FFFFFF"/>
          <w:lang w:eastAsia="ru-RU"/>
        </w:rPr>
        <w:t>Мадди</w:t>
      </w:r>
      <w:proofErr w:type="spellEnd"/>
      <w:r w:rsidRPr="003B67A4">
        <w:rPr>
          <w:rFonts w:ascii="Arial" w:eastAsia="Times New Roman" w:hAnsi="Arial" w:cs="Arial"/>
          <w:color w:val="484848"/>
          <w:sz w:val="23"/>
          <w:szCs w:val="23"/>
          <w:shd w:val="clear" w:color="auto" w:fill="FFFFFF"/>
          <w:lang w:eastAsia="ru-RU"/>
        </w:rPr>
        <w:t xml:space="preserve">. Личностная переменная </w:t>
      </w:r>
      <w:proofErr w:type="spellStart"/>
      <w:r w:rsidRPr="003B67A4">
        <w:rPr>
          <w:rFonts w:ascii="Arial" w:eastAsia="Times New Roman" w:hAnsi="Arial" w:cs="Arial"/>
          <w:color w:val="484848"/>
          <w:sz w:val="23"/>
          <w:szCs w:val="23"/>
          <w:shd w:val="clear" w:color="auto" w:fill="FFFFFF"/>
          <w:lang w:eastAsia="ru-RU"/>
        </w:rPr>
        <w:t>hardiness</w:t>
      </w:r>
      <w:proofErr w:type="spellEnd"/>
      <w:r w:rsidRPr="003B67A4">
        <w:rPr>
          <w:rFonts w:ascii="Arial" w:eastAsia="Times New Roman" w:hAnsi="Arial" w:cs="Arial"/>
          <w:color w:val="484848"/>
          <w:sz w:val="23"/>
          <w:szCs w:val="23"/>
          <w:shd w:val="clear" w:color="auto" w:fill="FFFFFF"/>
          <w:lang w:eastAsia="ru-RU"/>
        </w:rPr>
        <w:t xml:space="preserve"> (жизнестойкость) характеризует меру способности личности выдерживать стрессовую ситуацию, сохраняя внутреннюю сбалансированность и не снижая успешность деятельности.</w:t>
      </w:r>
    </w:p>
    <w:p w:rsidR="003B67A4" w:rsidRPr="003B67A4" w:rsidRDefault="003B67A4" w:rsidP="003B67A4">
      <w:pPr>
        <w:spacing w:before="240" w:after="240" w:line="240" w:lineRule="auto"/>
        <w:rPr>
          <w:rFonts w:ascii="Arial" w:eastAsia="Times New Roman" w:hAnsi="Arial" w:cs="Arial"/>
          <w:color w:val="484848"/>
          <w:sz w:val="23"/>
          <w:szCs w:val="23"/>
          <w:shd w:val="clear" w:color="auto" w:fill="FFFFFF"/>
          <w:lang w:eastAsia="ru-RU"/>
        </w:rPr>
      </w:pPr>
      <w:r w:rsidRPr="003B67A4">
        <w:rPr>
          <w:rFonts w:ascii="Arial" w:eastAsia="Times New Roman" w:hAnsi="Arial" w:cs="Arial"/>
          <w:color w:val="484848"/>
          <w:sz w:val="23"/>
          <w:szCs w:val="23"/>
          <w:shd w:val="clear" w:color="auto" w:fill="FFFFFF"/>
          <w:lang w:eastAsia="ru-RU"/>
        </w:rPr>
        <w:t>Жизнестойкость представляет собой систему убеждений о себе, о мире, об отношениях с миром. Это диспозиция, включающая в себя три сравнительно автономных компонента: </w:t>
      </w:r>
      <w:r w:rsidRPr="003B67A4">
        <w:rPr>
          <w:rFonts w:ascii="Arial" w:eastAsia="Times New Roman" w:hAnsi="Arial" w:cs="Arial"/>
          <w:color w:val="484848"/>
          <w:sz w:val="23"/>
          <w:szCs w:val="23"/>
          <w:u w:val="single"/>
          <w:shd w:val="clear" w:color="auto" w:fill="FFFFFF"/>
          <w:lang w:eastAsia="ru-RU"/>
        </w:rPr>
        <w:t>вовлеченность, контроль, принятие риска.</w:t>
      </w:r>
      <w:r w:rsidRPr="003B67A4">
        <w:rPr>
          <w:rFonts w:ascii="Arial" w:eastAsia="Times New Roman" w:hAnsi="Arial" w:cs="Arial"/>
          <w:color w:val="484848"/>
          <w:sz w:val="23"/>
          <w:szCs w:val="23"/>
          <w:shd w:val="clear" w:color="auto" w:fill="FFFFFF"/>
          <w:lang w:eastAsia="ru-RU"/>
        </w:rPr>
        <w:t> Выраженность этих компонентов и жизнестойкости в целом препятствует возникновению внутреннего напряжения в стрессовых ситуациях за счет стойкого совладания со стрессами и восприятия их как менее значимых.</w:t>
      </w:r>
    </w:p>
    <w:p w:rsidR="003B67A4" w:rsidRPr="003B67A4" w:rsidRDefault="003B67A4" w:rsidP="003B67A4">
      <w:pPr>
        <w:spacing w:before="240" w:after="240" w:line="240" w:lineRule="auto"/>
        <w:rPr>
          <w:rFonts w:ascii="Arial" w:eastAsia="Times New Roman" w:hAnsi="Arial" w:cs="Arial"/>
          <w:color w:val="484848"/>
          <w:sz w:val="23"/>
          <w:szCs w:val="23"/>
          <w:shd w:val="clear" w:color="auto" w:fill="FFFFFF"/>
          <w:lang w:eastAsia="ru-RU"/>
        </w:rPr>
      </w:pPr>
      <w:r w:rsidRPr="003B67A4">
        <w:rPr>
          <w:rFonts w:ascii="Arial" w:eastAsia="Times New Roman" w:hAnsi="Arial" w:cs="Arial"/>
          <w:color w:val="484848"/>
          <w:sz w:val="23"/>
          <w:szCs w:val="23"/>
          <w:shd w:val="clear" w:color="auto" w:fill="FFFFFF"/>
          <w:lang w:eastAsia="ru-RU"/>
        </w:rPr>
        <w:t>Шкалы теста:</w:t>
      </w:r>
    </w:p>
    <w:p w:rsidR="003B67A4" w:rsidRPr="003B67A4" w:rsidRDefault="003B67A4" w:rsidP="003B67A4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484848"/>
          <w:sz w:val="23"/>
          <w:szCs w:val="23"/>
          <w:shd w:val="clear" w:color="auto" w:fill="FFFFFF"/>
          <w:lang w:eastAsia="ru-RU"/>
        </w:rPr>
      </w:pPr>
      <w:r w:rsidRPr="003B67A4">
        <w:rPr>
          <w:rFonts w:ascii="Arial" w:eastAsia="Times New Roman" w:hAnsi="Arial" w:cs="Arial"/>
          <w:color w:val="484848"/>
          <w:sz w:val="23"/>
          <w:szCs w:val="23"/>
          <w:shd w:val="clear" w:color="auto" w:fill="FFFFFF"/>
          <w:lang w:eastAsia="ru-RU"/>
        </w:rPr>
        <w:t>Вовлеченность.</w:t>
      </w:r>
    </w:p>
    <w:p w:rsidR="003B67A4" w:rsidRPr="003B67A4" w:rsidRDefault="003B67A4" w:rsidP="003B67A4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484848"/>
          <w:sz w:val="23"/>
          <w:szCs w:val="23"/>
          <w:shd w:val="clear" w:color="auto" w:fill="FFFFFF"/>
          <w:lang w:eastAsia="ru-RU"/>
        </w:rPr>
      </w:pPr>
      <w:r w:rsidRPr="003B67A4">
        <w:rPr>
          <w:rFonts w:ascii="Arial" w:eastAsia="Times New Roman" w:hAnsi="Arial" w:cs="Arial"/>
          <w:color w:val="484848"/>
          <w:sz w:val="23"/>
          <w:szCs w:val="23"/>
          <w:shd w:val="clear" w:color="auto" w:fill="FFFFFF"/>
          <w:lang w:eastAsia="ru-RU"/>
        </w:rPr>
        <w:t>Контроль.</w:t>
      </w:r>
    </w:p>
    <w:p w:rsidR="003B67A4" w:rsidRPr="003B67A4" w:rsidRDefault="003B67A4" w:rsidP="003B67A4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484848"/>
          <w:sz w:val="23"/>
          <w:szCs w:val="23"/>
          <w:shd w:val="clear" w:color="auto" w:fill="FFFFFF"/>
          <w:lang w:eastAsia="ru-RU"/>
        </w:rPr>
      </w:pPr>
      <w:r w:rsidRPr="003B67A4">
        <w:rPr>
          <w:rFonts w:ascii="Arial" w:eastAsia="Times New Roman" w:hAnsi="Arial" w:cs="Arial"/>
          <w:color w:val="484848"/>
          <w:sz w:val="23"/>
          <w:szCs w:val="23"/>
          <w:shd w:val="clear" w:color="auto" w:fill="FFFFFF"/>
          <w:lang w:eastAsia="ru-RU"/>
        </w:rPr>
        <w:t>Принятие риска.</w:t>
      </w:r>
    </w:p>
    <w:p w:rsidR="003B67A4" w:rsidRPr="003B67A4" w:rsidRDefault="003B67A4" w:rsidP="003B67A4">
      <w:pPr>
        <w:spacing w:before="240" w:after="240" w:line="240" w:lineRule="auto"/>
        <w:rPr>
          <w:rFonts w:ascii="Arial" w:eastAsia="Times New Roman" w:hAnsi="Arial" w:cs="Arial"/>
          <w:color w:val="484848"/>
          <w:sz w:val="23"/>
          <w:szCs w:val="23"/>
          <w:shd w:val="clear" w:color="auto" w:fill="FFFFFF"/>
          <w:lang w:eastAsia="ru-RU"/>
        </w:rPr>
      </w:pPr>
      <w:r w:rsidRPr="003B67A4">
        <w:rPr>
          <w:rFonts w:ascii="Arial" w:eastAsia="Times New Roman" w:hAnsi="Arial" w:cs="Arial"/>
          <w:color w:val="484848"/>
          <w:sz w:val="23"/>
          <w:szCs w:val="23"/>
          <w:u w:val="single"/>
          <w:shd w:val="clear" w:color="auto" w:fill="FFFFFF"/>
          <w:lang w:eastAsia="ru-RU"/>
        </w:rPr>
        <w:t>Вовлеченность</w:t>
      </w:r>
      <w:r w:rsidRPr="003B67A4">
        <w:rPr>
          <w:rFonts w:ascii="Arial" w:eastAsia="Times New Roman" w:hAnsi="Arial" w:cs="Arial"/>
          <w:color w:val="484848"/>
          <w:sz w:val="23"/>
          <w:szCs w:val="23"/>
          <w:shd w:val="clear" w:color="auto" w:fill="FFFFFF"/>
          <w:lang w:eastAsia="ru-RU"/>
        </w:rPr>
        <w:t xml:space="preserve"> определяется как «убежденность в том, что вовлеченность в происходящее дает максимальный шанс найти нечто стоящее и интересное для личности». Человек с развитым компонентом вовлеченности получает удовольствие от собственной деятельности. В противоположность этому, отсутствие подобной убежденности порождает чувство </w:t>
      </w:r>
      <w:proofErr w:type="spellStart"/>
      <w:r w:rsidRPr="003B67A4">
        <w:rPr>
          <w:rFonts w:ascii="Arial" w:eastAsia="Times New Roman" w:hAnsi="Arial" w:cs="Arial"/>
          <w:color w:val="484848"/>
          <w:sz w:val="23"/>
          <w:szCs w:val="23"/>
          <w:shd w:val="clear" w:color="auto" w:fill="FFFFFF"/>
          <w:lang w:eastAsia="ru-RU"/>
        </w:rPr>
        <w:t>отвергнутости</w:t>
      </w:r>
      <w:proofErr w:type="spellEnd"/>
      <w:r w:rsidRPr="003B67A4">
        <w:rPr>
          <w:rFonts w:ascii="Arial" w:eastAsia="Times New Roman" w:hAnsi="Arial" w:cs="Arial"/>
          <w:color w:val="484848"/>
          <w:sz w:val="23"/>
          <w:szCs w:val="23"/>
          <w:shd w:val="clear" w:color="auto" w:fill="FFFFFF"/>
          <w:lang w:eastAsia="ru-RU"/>
        </w:rPr>
        <w:t>, ощущение себя «вне» жизни.</w:t>
      </w:r>
    </w:p>
    <w:p w:rsidR="003B67A4" w:rsidRPr="003B67A4" w:rsidRDefault="003B67A4" w:rsidP="003B67A4">
      <w:pPr>
        <w:spacing w:before="240" w:after="240" w:line="240" w:lineRule="auto"/>
        <w:rPr>
          <w:rFonts w:ascii="Arial" w:eastAsia="Times New Roman" w:hAnsi="Arial" w:cs="Arial"/>
          <w:color w:val="484848"/>
          <w:sz w:val="23"/>
          <w:szCs w:val="23"/>
          <w:shd w:val="clear" w:color="auto" w:fill="FFFFFF"/>
          <w:lang w:eastAsia="ru-RU"/>
        </w:rPr>
      </w:pPr>
      <w:r w:rsidRPr="003B67A4">
        <w:rPr>
          <w:rFonts w:ascii="Arial" w:eastAsia="Times New Roman" w:hAnsi="Arial" w:cs="Arial"/>
          <w:color w:val="484848"/>
          <w:sz w:val="23"/>
          <w:szCs w:val="23"/>
          <w:u w:val="single"/>
          <w:shd w:val="clear" w:color="auto" w:fill="FFFFFF"/>
          <w:lang w:eastAsia="ru-RU"/>
        </w:rPr>
        <w:t>Контроль</w:t>
      </w:r>
      <w:r w:rsidRPr="003B67A4">
        <w:rPr>
          <w:rFonts w:ascii="Arial" w:eastAsia="Times New Roman" w:hAnsi="Arial" w:cs="Arial"/>
          <w:color w:val="484848"/>
          <w:sz w:val="23"/>
          <w:szCs w:val="23"/>
          <w:shd w:val="clear" w:color="auto" w:fill="FFFFFF"/>
          <w:lang w:eastAsia="ru-RU"/>
        </w:rPr>
        <w:t> представляет собой убежденность в том, что борьба позволяет повлиять на результат происходящего, пусть даже это влияние не абсолютно и успех не гарантирован. Противоположность этому — ощущение собственной беспомощности. Человек с сильно развитым компонентом контроля ощущает, что сам выбирает собственную деятельность, свой путь.</w:t>
      </w:r>
    </w:p>
    <w:p w:rsidR="003B67A4" w:rsidRPr="003B67A4" w:rsidRDefault="003B67A4" w:rsidP="003B67A4">
      <w:pPr>
        <w:spacing w:before="240" w:line="240" w:lineRule="auto"/>
        <w:rPr>
          <w:rFonts w:ascii="Arial" w:eastAsia="Times New Roman" w:hAnsi="Arial" w:cs="Arial"/>
          <w:color w:val="484848"/>
          <w:sz w:val="23"/>
          <w:szCs w:val="23"/>
          <w:shd w:val="clear" w:color="auto" w:fill="FFFFFF"/>
          <w:lang w:eastAsia="ru-RU"/>
        </w:rPr>
      </w:pPr>
      <w:r w:rsidRPr="003B67A4">
        <w:rPr>
          <w:rFonts w:ascii="Arial" w:eastAsia="Times New Roman" w:hAnsi="Arial" w:cs="Arial"/>
          <w:color w:val="484848"/>
          <w:sz w:val="23"/>
          <w:szCs w:val="23"/>
          <w:u w:val="single"/>
          <w:shd w:val="clear" w:color="auto" w:fill="FFFFFF"/>
          <w:lang w:eastAsia="ru-RU"/>
        </w:rPr>
        <w:t>Принятие риска</w:t>
      </w:r>
      <w:r w:rsidRPr="003B67A4">
        <w:rPr>
          <w:rFonts w:ascii="Arial" w:eastAsia="Times New Roman" w:hAnsi="Arial" w:cs="Arial"/>
          <w:color w:val="484848"/>
          <w:sz w:val="23"/>
          <w:szCs w:val="23"/>
          <w:shd w:val="clear" w:color="auto" w:fill="FFFFFF"/>
          <w:lang w:eastAsia="ru-RU"/>
        </w:rPr>
        <w:t> — убежденность человека в том, что все то, что с ним случается, способствует его развитию за счет знаний, извлекаемых из опыта, — неважно, позитивного или негативного. Человек, рассматривающий жизнь как способ приобретения опыта, готов действовать в отсутствие надежных гарантий успеха, на свой страх и риск, считая стремление к простому комфорту и безопасности обедняющим жизнь личности. В основе принятия риска лежит идея развития через активное усвоение знаний из опыта и последующее их использование.</w:t>
      </w:r>
    </w:p>
    <w:p w:rsidR="003B67A4" w:rsidRPr="003B67A4" w:rsidRDefault="003B67A4" w:rsidP="003B67A4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484848"/>
          <w:sz w:val="23"/>
          <w:szCs w:val="23"/>
          <w:lang w:eastAsia="ru-RU"/>
        </w:rPr>
      </w:pPr>
      <w:r w:rsidRPr="003B67A4">
        <w:rPr>
          <w:rFonts w:ascii="Arial" w:eastAsia="Times New Roman" w:hAnsi="Arial" w:cs="Arial"/>
          <w:b/>
          <w:bCs/>
          <w:color w:val="484848"/>
          <w:sz w:val="23"/>
          <w:szCs w:val="23"/>
          <w:lang w:eastAsia="ru-RU"/>
        </w:rPr>
        <w:t>Ключи шкал Теста жизнестойкости</w:t>
      </w:r>
    </w:p>
    <w:p w:rsidR="003B67A4" w:rsidRPr="003B67A4" w:rsidRDefault="003B67A4" w:rsidP="003B67A4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484848"/>
          <w:sz w:val="23"/>
          <w:szCs w:val="23"/>
          <w:lang w:eastAsia="ru-RU"/>
        </w:rPr>
      </w:pPr>
      <w:r w:rsidRPr="003B67A4">
        <w:rPr>
          <w:rFonts w:ascii="Arial" w:eastAsia="Times New Roman" w:hAnsi="Arial" w:cs="Arial"/>
          <w:color w:val="484848"/>
          <w:sz w:val="23"/>
          <w:szCs w:val="23"/>
          <w:lang w:eastAsia="ru-RU"/>
        </w:rPr>
        <w:t>Для подсчета баллов ответам на </w:t>
      </w:r>
      <w:r w:rsidRPr="003B67A4">
        <w:rPr>
          <w:rFonts w:ascii="Arial" w:eastAsia="Times New Roman" w:hAnsi="Arial" w:cs="Arial"/>
          <w:i/>
          <w:iCs/>
          <w:color w:val="484848"/>
          <w:sz w:val="23"/>
          <w:szCs w:val="23"/>
          <w:lang w:eastAsia="ru-RU"/>
        </w:rPr>
        <w:t>прямые пункты</w:t>
      </w:r>
      <w:r w:rsidRPr="003B67A4">
        <w:rPr>
          <w:rFonts w:ascii="Arial" w:eastAsia="Times New Roman" w:hAnsi="Arial" w:cs="Arial"/>
          <w:color w:val="484848"/>
          <w:sz w:val="23"/>
          <w:szCs w:val="23"/>
          <w:lang w:eastAsia="ru-RU"/>
        </w:rPr>
        <w:t> присва</w:t>
      </w:r>
      <w:r w:rsidRPr="003B67A4">
        <w:rPr>
          <w:rFonts w:ascii="Arial" w:eastAsia="Times New Roman" w:hAnsi="Arial" w:cs="Arial"/>
          <w:color w:val="484848"/>
          <w:sz w:val="23"/>
          <w:szCs w:val="23"/>
          <w:lang w:eastAsia="ru-RU"/>
        </w:rPr>
        <w:softHyphen/>
        <w:t xml:space="preserve">иваются баллы </w:t>
      </w:r>
      <w:proofErr w:type="gramStart"/>
      <w:r w:rsidRPr="003B67A4">
        <w:rPr>
          <w:rFonts w:ascii="Arial" w:eastAsia="Times New Roman" w:hAnsi="Arial" w:cs="Arial"/>
          <w:color w:val="484848"/>
          <w:sz w:val="23"/>
          <w:szCs w:val="23"/>
          <w:lang w:eastAsia="ru-RU"/>
        </w:rPr>
        <w:t>от  О</w:t>
      </w:r>
      <w:proofErr w:type="gramEnd"/>
      <w:r w:rsidRPr="003B67A4">
        <w:rPr>
          <w:rFonts w:ascii="Arial" w:eastAsia="Times New Roman" w:hAnsi="Arial" w:cs="Arial"/>
          <w:color w:val="484848"/>
          <w:sz w:val="23"/>
          <w:szCs w:val="23"/>
          <w:lang w:eastAsia="ru-RU"/>
        </w:rPr>
        <w:t xml:space="preserve"> до 3:</w:t>
      </w:r>
    </w:p>
    <w:p w:rsidR="003B67A4" w:rsidRPr="003B67A4" w:rsidRDefault="003B67A4" w:rsidP="003B67A4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484848"/>
          <w:sz w:val="23"/>
          <w:szCs w:val="23"/>
          <w:lang w:eastAsia="ru-RU"/>
        </w:rPr>
      </w:pPr>
      <w:r w:rsidRPr="003B67A4">
        <w:rPr>
          <w:rFonts w:ascii="Arial" w:eastAsia="Times New Roman" w:hAnsi="Arial" w:cs="Arial"/>
          <w:color w:val="484848"/>
          <w:sz w:val="23"/>
          <w:szCs w:val="23"/>
          <w:lang w:eastAsia="ru-RU"/>
        </w:rPr>
        <w:t> «нет» - </w:t>
      </w:r>
      <w:r w:rsidRPr="003B67A4">
        <w:rPr>
          <w:rFonts w:ascii="Arial" w:eastAsia="Times New Roman" w:hAnsi="Arial" w:cs="Arial"/>
          <w:b/>
          <w:bCs/>
          <w:color w:val="484848"/>
          <w:sz w:val="23"/>
          <w:szCs w:val="23"/>
          <w:lang w:eastAsia="ru-RU"/>
        </w:rPr>
        <w:t>О</w:t>
      </w:r>
      <w:r w:rsidRPr="003B67A4">
        <w:rPr>
          <w:rFonts w:ascii="Arial" w:eastAsia="Times New Roman" w:hAnsi="Arial" w:cs="Arial"/>
          <w:color w:val="484848"/>
          <w:sz w:val="23"/>
          <w:szCs w:val="23"/>
          <w:lang w:eastAsia="ru-RU"/>
        </w:rPr>
        <w:t> </w:t>
      </w:r>
      <w:proofErr w:type="gramStart"/>
      <w:r w:rsidRPr="003B67A4">
        <w:rPr>
          <w:rFonts w:ascii="Arial" w:eastAsia="Times New Roman" w:hAnsi="Arial" w:cs="Arial"/>
          <w:color w:val="484848"/>
          <w:sz w:val="23"/>
          <w:szCs w:val="23"/>
          <w:lang w:eastAsia="ru-RU"/>
        </w:rPr>
        <w:t>баллов,  «</w:t>
      </w:r>
      <w:proofErr w:type="gramEnd"/>
      <w:r w:rsidRPr="003B67A4">
        <w:rPr>
          <w:rFonts w:ascii="Arial" w:eastAsia="Times New Roman" w:hAnsi="Arial" w:cs="Arial"/>
          <w:color w:val="484848"/>
          <w:sz w:val="23"/>
          <w:szCs w:val="23"/>
          <w:lang w:eastAsia="ru-RU"/>
        </w:rPr>
        <w:t>скорее нет, чем да» -1 балл, «скорее да, чем нет» - </w:t>
      </w:r>
      <w:r w:rsidRPr="003B67A4">
        <w:rPr>
          <w:rFonts w:ascii="Arial" w:eastAsia="Times New Roman" w:hAnsi="Arial" w:cs="Arial"/>
          <w:b/>
          <w:bCs/>
          <w:color w:val="484848"/>
          <w:sz w:val="23"/>
          <w:szCs w:val="23"/>
          <w:lang w:eastAsia="ru-RU"/>
        </w:rPr>
        <w:t>2</w:t>
      </w:r>
      <w:r w:rsidRPr="003B67A4">
        <w:rPr>
          <w:rFonts w:ascii="Arial" w:eastAsia="Times New Roman" w:hAnsi="Arial" w:cs="Arial"/>
          <w:color w:val="484848"/>
          <w:sz w:val="23"/>
          <w:szCs w:val="23"/>
          <w:lang w:eastAsia="ru-RU"/>
        </w:rPr>
        <w:t> балла,  «да» - </w:t>
      </w:r>
      <w:r w:rsidRPr="003B67A4">
        <w:rPr>
          <w:rFonts w:ascii="Arial" w:eastAsia="Times New Roman" w:hAnsi="Arial" w:cs="Arial"/>
          <w:b/>
          <w:bCs/>
          <w:color w:val="484848"/>
          <w:sz w:val="23"/>
          <w:szCs w:val="23"/>
          <w:lang w:eastAsia="ru-RU"/>
        </w:rPr>
        <w:t>3 </w:t>
      </w:r>
      <w:r w:rsidRPr="003B67A4">
        <w:rPr>
          <w:rFonts w:ascii="Arial" w:eastAsia="Times New Roman" w:hAnsi="Arial" w:cs="Arial"/>
          <w:color w:val="484848"/>
          <w:sz w:val="23"/>
          <w:szCs w:val="23"/>
          <w:lang w:eastAsia="ru-RU"/>
        </w:rPr>
        <w:t>балла.</w:t>
      </w:r>
    </w:p>
    <w:p w:rsidR="003B67A4" w:rsidRPr="003B67A4" w:rsidRDefault="003B67A4" w:rsidP="003B67A4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484848"/>
          <w:sz w:val="23"/>
          <w:szCs w:val="23"/>
          <w:lang w:eastAsia="ru-RU"/>
        </w:rPr>
      </w:pPr>
      <w:r w:rsidRPr="003B67A4">
        <w:rPr>
          <w:rFonts w:ascii="Arial" w:eastAsia="Times New Roman" w:hAnsi="Arial" w:cs="Arial"/>
          <w:color w:val="484848"/>
          <w:sz w:val="23"/>
          <w:szCs w:val="23"/>
          <w:lang w:eastAsia="ru-RU"/>
        </w:rPr>
        <w:lastRenderedPageBreak/>
        <w:t>Ответам на </w:t>
      </w:r>
      <w:r w:rsidRPr="003B67A4">
        <w:rPr>
          <w:rFonts w:ascii="Arial" w:eastAsia="Times New Roman" w:hAnsi="Arial" w:cs="Arial"/>
          <w:i/>
          <w:iCs/>
          <w:color w:val="484848"/>
          <w:sz w:val="23"/>
          <w:szCs w:val="23"/>
          <w:lang w:eastAsia="ru-RU"/>
        </w:rPr>
        <w:t>обратные пункты</w:t>
      </w:r>
      <w:r w:rsidRPr="003B67A4">
        <w:rPr>
          <w:rFonts w:ascii="Arial" w:eastAsia="Times New Roman" w:hAnsi="Arial" w:cs="Arial"/>
          <w:color w:val="484848"/>
          <w:sz w:val="23"/>
          <w:szCs w:val="23"/>
          <w:lang w:eastAsia="ru-RU"/>
        </w:rPr>
        <w:t xml:space="preserve"> присваиваются баллы от 3 до </w:t>
      </w:r>
      <w:proofErr w:type="gramStart"/>
      <w:r w:rsidRPr="003B67A4">
        <w:rPr>
          <w:rFonts w:ascii="Arial" w:eastAsia="Times New Roman" w:hAnsi="Arial" w:cs="Arial"/>
          <w:color w:val="484848"/>
          <w:sz w:val="23"/>
          <w:szCs w:val="23"/>
          <w:lang w:eastAsia="ru-RU"/>
        </w:rPr>
        <w:t>О</w:t>
      </w:r>
      <w:proofErr w:type="gramEnd"/>
      <w:r w:rsidRPr="003B67A4">
        <w:rPr>
          <w:rFonts w:ascii="Arial" w:eastAsia="Times New Roman" w:hAnsi="Arial" w:cs="Arial"/>
          <w:color w:val="484848"/>
          <w:sz w:val="23"/>
          <w:szCs w:val="23"/>
          <w:lang w:eastAsia="ru-RU"/>
        </w:rPr>
        <w:t>:</w:t>
      </w:r>
    </w:p>
    <w:p w:rsidR="003B67A4" w:rsidRPr="003B67A4" w:rsidRDefault="003B67A4" w:rsidP="003B67A4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484848"/>
          <w:sz w:val="23"/>
          <w:szCs w:val="23"/>
          <w:lang w:eastAsia="ru-RU"/>
        </w:rPr>
      </w:pPr>
      <w:r w:rsidRPr="003B67A4">
        <w:rPr>
          <w:rFonts w:ascii="Arial" w:eastAsia="Times New Roman" w:hAnsi="Arial" w:cs="Arial"/>
          <w:color w:val="484848"/>
          <w:sz w:val="23"/>
          <w:szCs w:val="23"/>
          <w:lang w:eastAsia="ru-RU"/>
        </w:rPr>
        <w:t> «нет» - </w:t>
      </w:r>
      <w:r w:rsidRPr="003B67A4">
        <w:rPr>
          <w:rFonts w:ascii="Arial" w:eastAsia="Times New Roman" w:hAnsi="Arial" w:cs="Arial"/>
          <w:b/>
          <w:bCs/>
          <w:color w:val="484848"/>
          <w:sz w:val="23"/>
          <w:szCs w:val="23"/>
          <w:lang w:eastAsia="ru-RU"/>
        </w:rPr>
        <w:t>3 </w:t>
      </w:r>
      <w:r w:rsidRPr="003B67A4">
        <w:rPr>
          <w:rFonts w:ascii="Arial" w:eastAsia="Times New Roman" w:hAnsi="Arial" w:cs="Arial"/>
          <w:color w:val="484848"/>
          <w:sz w:val="23"/>
          <w:szCs w:val="23"/>
          <w:lang w:eastAsia="ru-RU"/>
        </w:rPr>
        <w:t>балла, … «да» - </w:t>
      </w:r>
      <w:proofErr w:type="gramStart"/>
      <w:r w:rsidRPr="003B67A4">
        <w:rPr>
          <w:rFonts w:ascii="Arial" w:eastAsia="Times New Roman" w:hAnsi="Arial" w:cs="Arial"/>
          <w:b/>
          <w:bCs/>
          <w:color w:val="484848"/>
          <w:sz w:val="23"/>
          <w:szCs w:val="23"/>
          <w:lang w:eastAsia="ru-RU"/>
        </w:rPr>
        <w:t>О</w:t>
      </w:r>
      <w:r w:rsidRPr="003B67A4">
        <w:rPr>
          <w:rFonts w:ascii="Arial" w:eastAsia="Times New Roman" w:hAnsi="Arial" w:cs="Arial"/>
          <w:color w:val="484848"/>
          <w:sz w:val="23"/>
          <w:szCs w:val="23"/>
          <w:lang w:eastAsia="ru-RU"/>
        </w:rPr>
        <w:t> баллов</w:t>
      </w:r>
      <w:proofErr w:type="gramEnd"/>
      <w:r w:rsidRPr="003B67A4">
        <w:rPr>
          <w:rFonts w:ascii="Arial" w:eastAsia="Times New Roman" w:hAnsi="Arial" w:cs="Arial"/>
          <w:color w:val="484848"/>
          <w:sz w:val="23"/>
          <w:szCs w:val="23"/>
          <w:lang w:eastAsia="ru-RU"/>
        </w:rPr>
        <w:t>.</w:t>
      </w:r>
    </w:p>
    <w:p w:rsidR="003B67A4" w:rsidRPr="003B67A4" w:rsidRDefault="003B67A4" w:rsidP="003B67A4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484848"/>
          <w:sz w:val="23"/>
          <w:szCs w:val="23"/>
          <w:lang w:eastAsia="ru-RU"/>
        </w:rPr>
      </w:pPr>
      <w:proofErr w:type="gramStart"/>
      <w:r w:rsidRPr="003B67A4">
        <w:rPr>
          <w:rFonts w:ascii="Arial" w:eastAsia="Times New Roman" w:hAnsi="Arial" w:cs="Arial"/>
          <w:color w:val="484848"/>
          <w:sz w:val="23"/>
          <w:szCs w:val="23"/>
          <w:lang w:eastAsia="ru-RU"/>
        </w:rPr>
        <w:t>Затем  баллы</w:t>
      </w:r>
      <w:proofErr w:type="gramEnd"/>
      <w:r w:rsidRPr="003B67A4">
        <w:rPr>
          <w:rFonts w:ascii="Arial" w:eastAsia="Times New Roman" w:hAnsi="Arial" w:cs="Arial"/>
          <w:color w:val="484848"/>
          <w:sz w:val="23"/>
          <w:szCs w:val="23"/>
          <w:lang w:eastAsia="ru-RU"/>
        </w:rPr>
        <w:t xml:space="preserve"> по отдельной </w:t>
      </w:r>
      <w:proofErr w:type="spellStart"/>
      <w:r w:rsidRPr="003B67A4">
        <w:rPr>
          <w:rFonts w:ascii="Arial" w:eastAsia="Times New Roman" w:hAnsi="Arial" w:cs="Arial"/>
          <w:color w:val="484848"/>
          <w:sz w:val="23"/>
          <w:szCs w:val="23"/>
          <w:lang w:eastAsia="ru-RU"/>
        </w:rPr>
        <w:t>субшкале</w:t>
      </w:r>
      <w:proofErr w:type="spellEnd"/>
      <w:r w:rsidRPr="003B67A4">
        <w:rPr>
          <w:rFonts w:ascii="Arial" w:eastAsia="Times New Roman" w:hAnsi="Arial" w:cs="Arial"/>
          <w:color w:val="484848"/>
          <w:sz w:val="23"/>
          <w:szCs w:val="23"/>
          <w:lang w:eastAsia="ru-RU"/>
        </w:rPr>
        <w:t xml:space="preserve">  (вовлеченности, контроля и принятия риска) по прямым и обратным пунктам  суммируются. Суммы получаем по каждой </w:t>
      </w:r>
      <w:proofErr w:type="spellStart"/>
      <w:r w:rsidRPr="003B67A4">
        <w:rPr>
          <w:rFonts w:ascii="Arial" w:eastAsia="Times New Roman" w:hAnsi="Arial" w:cs="Arial"/>
          <w:color w:val="484848"/>
          <w:sz w:val="23"/>
          <w:szCs w:val="23"/>
          <w:lang w:eastAsia="ru-RU"/>
        </w:rPr>
        <w:t>субшкале</w:t>
      </w:r>
      <w:proofErr w:type="spellEnd"/>
      <w:r w:rsidRPr="003B67A4">
        <w:rPr>
          <w:rFonts w:ascii="Arial" w:eastAsia="Times New Roman" w:hAnsi="Arial" w:cs="Arial"/>
          <w:color w:val="484848"/>
          <w:sz w:val="23"/>
          <w:szCs w:val="23"/>
          <w:lang w:eastAsia="ru-RU"/>
        </w:rPr>
        <w:t>.</w:t>
      </w:r>
    </w:p>
    <w:p w:rsidR="003B67A4" w:rsidRPr="003B67A4" w:rsidRDefault="003B67A4" w:rsidP="003B67A4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484848"/>
          <w:sz w:val="23"/>
          <w:szCs w:val="23"/>
          <w:lang w:eastAsia="ru-RU"/>
        </w:rPr>
      </w:pPr>
      <w:r w:rsidRPr="003B67A4">
        <w:rPr>
          <w:rFonts w:ascii="Arial" w:eastAsia="Times New Roman" w:hAnsi="Arial" w:cs="Arial"/>
          <w:color w:val="484848"/>
          <w:sz w:val="23"/>
          <w:szCs w:val="23"/>
          <w:lang w:eastAsia="ru-RU"/>
        </w:rPr>
        <w:t>Далее вычисляется </w:t>
      </w:r>
      <w:r w:rsidRPr="003B67A4">
        <w:rPr>
          <w:rFonts w:ascii="Arial" w:eastAsia="Times New Roman" w:hAnsi="Arial" w:cs="Arial"/>
          <w:b/>
          <w:bCs/>
          <w:color w:val="484848"/>
          <w:sz w:val="23"/>
          <w:szCs w:val="23"/>
          <w:lang w:eastAsia="ru-RU"/>
        </w:rPr>
        <w:t>об</w:t>
      </w:r>
      <w:r w:rsidRPr="003B67A4">
        <w:rPr>
          <w:rFonts w:ascii="Arial" w:eastAsia="Times New Roman" w:hAnsi="Arial" w:cs="Arial"/>
          <w:b/>
          <w:bCs/>
          <w:color w:val="484848"/>
          <w:sz w:val="23"/>
          <w:szCs w:val="23"/>
          <w:lang w:eastAsia="ru-RU"/>
        </w:rPr>
        <w:softHyphen/>
        <w:t>щий балл жизнестойкости</w:t>
      </w:r>
      <w:r w:rsidRPr="003B67A4">
        <w:rPr>
          <w:rFonts w:ascii="Arial" w:eastAsia="Times New Roman" w:hAnsi="Arial" w:cs="Arial"/>
          <w:color w:val="484848"/>
          <w:sz w:val="23"/>
          <w:szCs w:val="23"/>
          <w:lang w:eastAsia="ru-RU"/>
        </w:rPr>
        <w:t xml:space="preserve"> - путем суммирования данных по трем </w:t>
      </w:r>
      <w:proofErr w:type="spellStart"/>
      <w:r w:rsidRPr="003B67A4">
        <w:rPr>
          <w:rFonts w:ascii="Arial" w:eastAsia="Times New Roman" w:hAnsi="Arial" w:cs="Arial"/>
          <w:color w:val="484848"/>
          <w:sz w:val="23"/>
          <w:szCs w:val="23"/>
          <w:lang w:eastAsia="ru-RU"/>
        </w:rPr>
        <w:t>субшкалам</w:t>
      </w:r>
      <w:proofErr w:type="spellEnd"/>
      <w:r w:rsidRPr="003B67A4">
        <w:rPr>
          <w:rFonts w:ascii="Arial" w:eastAsia="Times New Roman" w:hAnsi="Arial" w:cs="Arial"/>
          <w:color w:val="484848"/>
          <w:sz w:val="23"/>
          <w:szCs w:val="23"/>
          <w:lang w:eastAsia="ru-RU"/>
        </w:rPr>
        <w:t>.</w:t>
      </w:r>
    </w:p>
    <w:p w:rsidR="003B67A4" w:rsidRPr="003B67A4" w:rsidRDefault="003B67A4" w:rsidP="003B67A4">
      <w:pPr>
        <w:shd w:val="clear" w:color="auto" w:fill="FFFFFF"/>
        <w:spacing w:before="240" w:line="240" w:lineRule="auto"/>
        <w:rPr>
          <w:rFonts w:ascii="Arial" w:eastAsia="Times New Roman" w:hAnsi="Arial" w:cs="Arial"/>
          <w:color w:val="484848"/>
          <w:sz w:val="23"/>
          <w:szCs w:val="23"/>
          <w:lang w:eastAsia="ru-RU"/>
        </w:rPr>
      </w:pPr>
      <w:r w:rsidRPr="003B67A4">
        <w:rPr>
          <w:rFonts w:ascii="Arial" w:eastAsia="Times New Roman" w:hAnsi="Arial" w:cs="Arial"/>
          <w:color w:val="484848"/>
          <w:sz w:val="23"/>
          <w:szCs w:val="23"/>
          <w:lang w:eastAsia="ru-RU"/>
        </w:rPr>
        <w:t>Прямые и обратные пункты для каждой шкалы представлены ниже.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8"/>
        <w:gridCol w:w="2588"/>
        <w:gridCol w:w="5067"/>
      </w:tblGrid>
      <w:tr w:rsidR="003B67A4" w:rsidRPr="003B67A4" w:rsidTr="003B67A4">
        <w:trPr>
          <w:trHeight w:val="390"/>
        </w:trPr>
        <w:tc>
          <w:tcPr>
            <w:tcW w:w="1838" w:type="dxa"/>
            <w:vAlign w:val="center"/>
            <w:hideMark/>
          </w:tcPr>
          <w:p w:rsidR="003B67A4" w:rsidRPr="003B67A4" w:rsidRDefault="003B67A4" w:rsidP="003B67A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88" w:type="dxa"/>
            <w:vAlign w:val="center"/>
            <w:hideMark/>
          </w:tcPr>
          <w:p w:rsidR="003B67A4" w:rsidRPr="003B67A4" w:rsidRDefault="003B67A4" w:rsidP="003B67A4">
            <w:pPr>
              <w:spacing w:before="240" w:after="240" w:line="240" w:lineRule="auto"/>
              <w:ind w:left="1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Прямые пункты</w:t>
            </w:r>
          </w:p>
        </w:tc>
        <w:tc>
          <w:tcPr>
            <w:tcW w:w="5067" w:type="dxa"/>
            <w:vAlign w:val="center"/>
            <w:hideMark/>
          </w:tcPr>
          <w:p w:rsidR="003B67A4" w:rsidRPr="003B67A4" w:rsidRDefault="003B67A4" w:rsidP="003B67A4">
            <w:pPr>
              <w:spacing w:before="240" w:after="24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Обратные пункты</w:t>
            </w:r>
          </w:p>
        </w:tc>
      </w:tr>
      <w:tr w:rsidR="003B67A4" w:rsidRPr="003B67A4" w:rsidTr="003B67A4">
        <w:trPr>
          <w:trHeight w:val="345"/>
        </w:trPr>
        <w:tc>
          <w:tcPr>
            <w:tcW w:w="1838" w:type="dxa"/>
            <w:vAlign w:val="center"/>
            <w:hideMark/>
          </w:tcPr>
          <w:p w:rsidR="003B67A4" w:rsidRPr="003B67A4" w:rsidRDefault="003B67A4" w:rsidP="003B67A4">
            <w:pPr>
              <w:spacing w:before="240" w:after="240" w:line="240" w:lineRule="auto"/>
              <w:ind w:left="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67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Вовлечённость</w:t>
            </w:r>
            <w:proofErr w:type="spellEnd"/>
            <w:r w:rsidRPr="003B67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88" w:type="dxa"/>
            <w:vAlign w:val="center"/>
            <w:hideMark/>
          </w:tcPr>
          <w:p w:rsidR="003B67A4" w:rsidRPr="003B67A4" w:rsidRDefault="003B67A4" w:rsidP="003B67A4">
            <w:pPr>
              <w:spacing w:before="240" w:after="240" w:line="240" w:lineRule="auto"/>
              <w:ind w:left="1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4, 12, 22, 23, 24, 29, 41</w:t>
            </w:r>
          </w:p>
        </w:tc>
        <w:tc>
          <w:tcPr>
            <w:tcW w:w="5067" w:type="dxa"/>
            <w:vAlign w:val="center"/>
            <w:hideMark/>
          </w:tcPr>
          <w:p w:rsidR="003B67A4" w:rsidRPr="003B67A4" w:rsidRDefault="003B67A4" w:rsidP="003B67A4">
            <w:pPr>
              <w:spacing w:before="240" w:after="24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2, 3, 10, 11, 14, 28, 32, 37, 38, 40, 42</w:t>
            </w:r>
          </w:p>
        </w:tc>
      </w:tr>
      <w:tr w:rsidR="003B67A4" w:rsidRPr="003B67A4" w:rsidTr="003B67A4">
        <w:trPr>
          <w:trHeight w:val="360"/>
        </w:trPr>
        <w:tc>
          <w:tcPr>
            <w:tcW w:w="1838" w:type="dxa"/>
            <w:vAlign w:val="center"/>
            <w:hideMark/>
          </w:tcPr>
          <w:p w:rsidR="003B67A4" w:rsidRPr="003B67A4" w:rsidRDefault="003B67A4" w:rsidP="003B67A4">
            <w:pPr>
              <w:spacing w:before="240" w:after="240" w:line="240" w:lineRule="auto"/>
              <w:ind w:left="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7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2588" w:type="dxa"/>
            <w:vAlign w:val="center"/>
            <w:hideMark/>
          </w:tcPr>
          <w:p w:rsidR="003B67A4" w:rsidRPr="003B67A4" w:rsidRDefault="003B67A4" w:rsidP="003B67A4">
            <w:pPr>
              <w:spacing w:before="240" w:after="240" w:line="240" w:lineRule="auto"/>
              <w:ind w:left="1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9, 15, 17, 21, 25, 44</w:t>
            </w:r>
          </w:p>
        </w:tc>
        <w:tc>
          <w:tcPr>
            <w:tcW w:w="5067" w:type="dxa"/>
            <w:vAlign w:val="center"/>
            <w:hideMark/>
          </w:tcPr>
          <w:p w:rsidR="003B67A4" w:rsidRPr="003B67A4" w:rsidRDefault="003B67A4" w:rsidP="003B67A4">
            <w:pPr>
              <w:spacing w:before="240" w:after="24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1, 5, 6, 8, 16, 20, 27, 31, 35, 39, 43</w:t>
            </w:r>
          </w:p>
        </w:tc>
      </w:tr>
      <w:tr w:rsidR="003B67A4" w:rsidRPr="003B67A4" w:rsidTr="003B67A4">
        <w:trPr>
          <w:trHeight w:val="345"/>
        </w:trPr>
        <w:tc>
          <w:tcPr>
            <w:tcW w:w="1838" w:type="dxa"/>
            <w:vAlign w:val="center"/>
            <w:hideMark/>
          </w:tcPr>
          <w:p w:rsidR="003B67A4" w:rsidRPr="003B67A4" w:rsidRDefault="003B67A4" w:rsidP="003B67A4">
            <w:pPr>
              <w:spacing w:before="240" w:after="240" w:line="240" w:lineRule="auto"/>
              <w:ind w:left="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7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Принятие риска</w:t>
            </w:r>
          </w:p>
        </w:tc>
        <w:tc>
          <w:tcPr>
            <w:tcW w:w="2588" w:type="dxa"/>
            <w:vAlign w:val="center"/>
            <w:hideMark/>
          </w:tcPr>
          <w:p w:rsidR="003B67A4" w:rsidRPr="003B67A4" w:rsidRDefault="003B67A4" w:rsidP="003B67A4">
            <w:pPr>
              <w:spacing w:before="240" w:after="240" w:line="240" w:lineRule="auto"/>
              <w:ind w:left="1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34,45</w:t>
            </w:r>
          </w:p>
        </w:tc>
        <w:tc>
          <w:tcPr>
            <w:tcW w:w="5067" w:type="dxa"/>
            <w:vAlign w:val="center"/>
            <w:hideMark/>
          </w:tcPr>
          <w:p w:rsidR="003B67A4" w:rsidRPr="003B67A4" w:rsidRDefault="003B67A4" w:rsidP="003B67A4">
            <w:pPr>
              <w:spacing w:before="240" w:after="24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7, 13, 18, 19, 26, 30, 33, 36</w:t>
            </w:r>
          </w:p>
        </w:tc>
      </w:tr>
    </w:tbl>
    <w:p w:rsidR="003B67A4" w:rsidRDefault="003B67A4" w:rsidP="003B67A4">
      <w:pPr>
        <w:shd w:val="clear" w:color="auto" w:fill="FFFFFF"/>
        <w:spacing w:before="199" w:after="199" w:line="240" w:lineRule="auto"/>
        <w:jc w:val="center"/>
        <w:outlineLvl w:val="1"/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</w:pPr>
    </w:p>
    <w:p w:rsidR="003B67A4" w:rsidRPr="003B67A4" w:rsidRDefault="003B67A4" w:rsidP="003B67A4">
      <w:pPr>
        <w:shd w:val="clear" w:color="auto" w:fill="FFFFFF"/>
        <w:spacing w:before="199" w:after="199" w:line="240" w:lineRule="auto"/>
        <w:jc w:val="center"/>
        <w:outlineLvl w:val="1"/>
        <w:rPr>
          <w:rFonts w:ascii="Arial" w:eastAsia="Times New Roman" w:hAnsi="Arial" w:cs="Arial"/>
          <w:color w:val="333333"/>
          <w:sz w:val="36"/>
          <w:szCs w:val="36"/>
          <w:lang w:eastAsia="ru-RU"/>
        </w:rPr>
      </w:pPr>
      <w:r w:rsidRPr="003B67A4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Пример ана</w:t>
      </w:r>
      <w:r w:rsidR="00F0504B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лиза данных по методике исследов</w:t>
      </w:r>
      <w:r w:rsidRPr="003B67A4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ания жизнестойкости (</w:t>
      </w:r>
      <w:proofErr w:type="spellStart"/>
      <w:r w:rsidRPr="003B67A4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С.Мадди</w:t>
      </w:r>
      <w:proofErr w:type="spellEnd"/>
      <w:r w:rsidRPr="003B67A4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 xml:space="preserve"> в ад</w:t>
      </w:r>
      <w:bookmarkStart w:id="0" w:name="_GoBack"/>
      <w:bookmarkEnd w:id="0"/>
      <w:r w:rsidRPr="003B67A4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 xml:space="preserve">аптации </w:t>
      </w:r>
      <w:proofErr w:type="spellStart"/>
      <w:r w:rsidRPr="003B67A4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Д.Леонтьева</w:t>
      </w:r>
      <w:proofErr w:type="spellEnd"/>
      <w:r w:rsidRPr="003B67A4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)</w:t>
      </w:r>
    </w:p>
    <w:p w:rsidR="003B67A4" w:rsidRPr="003B67A4" w:rsidRDefault="003B67A4" w:rsidP="003B67A4">
      <w:pPr>
        <w:shd w:val="clear" w:color="auto" w:fill="FFFFFF"/>
        <w:spacing w:before="240" w:after="240" w:line="240" w:lineRule="auto"/>
        <w:jc w:val="right"/>
        <w:rPr>
          <w:rFonts w:ascii="Arial" w:eastAsia="Times New Roman" w:hAnsi="Arial" w:cs="Arial"/>
          <w:color w:val="484848"/>
          <w:sz w:val="23"/>
          <w:szCs w:val="23"/>
          <w:lang w:eastAsia="ru-RU"/>
        </w:rPr>
      </w:pPr>
      <w:r w:rsidRPr="003B67A4">
        <w:rPr>
          <w:rFonts w:ascii="Arial" w:eastAsia="Times New Roman" w:hAnsi="Arial" w:cs="Arial"/>
          <w:color w:val="484848"/>
          <w:sz w:val="23"/>
          <w:szCs w:val="23"/>
          <w:lang w:eastAsia="ru-RU"/>
        </w:rPr>
        <w:t>Таблица 3</w:t>
      </w:r>
    </w:p>
    <w:p w:rsidR="003B67A4" w:rsidRPr="003B67A4" w:rsidRDefault="003B67A4" w:rsidP="003B67A4">
      <w:pPr>
        <w:shd w:val="clear" w:color="auto" w:fill="FFFFFF"/>
        <w:spacing w:before="240" w:line="240" w:lineRule="auto"/>
        <w:jc w:val="center"/>
        <w:rPr>
          <w:rFonts w:ascii="Arial" w:eastAsia="Times New Roman" w:hAnsi="Arial" w:cs="Arial"/>
          <w:color w:val="484848"/>
          <w:sz w:val="23"/>
          <w:szCs w:val="23"/>
          <w:lang w:eastAsia="ru-RU"/>
        </w:rPr>
      </w:pPr>
      <w:r w:rsidRPr="003B67A4">
        <w:rPr>
          <w:rFonts w:ascii="Arial" w:eastAsia="Times New Roman" w:hAnsi="Arial" w:cs="Arial"/>
          <w:color w:val="484848"/>
          <w:sz w:val="23"/>
          <w:szCs w:val="23"/>
          <w:lang w:eastAsia="ru-RU"/>
        </w:rPr>
        <w:t>Результаты сравнительного анализа жизнестойкости представителей поколений Z и Х.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4"/>
        <w:gridCol w:w="1888"/>
        <w:gridCol w:w="1888"/>
        <w:gridCol w:w="1235"/>
        <w:gridCol w:w="1540"/>
      </w:tblGrid>
      <w:tr w:rsidR="003B67A4" w:rsidRPr="003B67A4" w:rsidTr="003B67A4">
        <w:trPr>
          <w:trHeight w:val="285"/>
        </w:trPr>
        <w:tc>
          <w:tcPr>
            <w:tcW w:w="2895" w:type="dxa"/>
            <w:noWrap/>
            <w:vAlign w:val="center"/>
            <w:hideMark/>
          </w:tcPr>
          <w:p w:rsidR="003B67A4" w:rsidRPr="003B67A4" w:rsidRDefault="003B67A4" w:rsidP="003B67A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85" w:type="dxa"/>
            <w:gridSpan w:val="2"/>
            <w:noWrap/>
            <w:vAlign w:val="center"/>
            <w:hideMark/>
          </w:tcPr>
          <w:p w:rsidR="003B67A4" w:rsidRPr="003B67A4" w:rsidRDefault="003B67A4" w:rsidP="003B67A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Средние значения</w:t>
            </w:r>
          </w:p>
        </w:tc>
        <w:tc>
          <w:tcPr>
            <w:tcW w:w="1275" w:type="dxa"/>
            <w:vMerge w:val="restart"/>
            <w:noWrap/>
            <w:vAlign w:val="center"/>
            <w:hideMark/>
          </w:tcPr>
          <w:p w:rsidR="003B67A4" w:rsidRPr="003B67A4" w:rsidRDefault="003B67A4" w:rsidP="003B67A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U-критерий Манна-Уитни</w:t>
            </w:r>
          </w:p>
        </w:tc>
        <w:tc>
          <w:tcPr>
            <w:tcW w:w="1305" w:type="dxa"/>
            <w:vMerge w:val="restart"/>
            <w:noWrap/>
            <w:vAlign w:val="center"/>
            <w:hideMark/>
          </w:tcPr>
          <w:p w:rsidR="003B67A4" w:rsidRPr="003B67A4" w:rsidRDefault="003B67A4" w:rsidP="003B67A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статистической значимости (p)l</w:t>
            </w:r>
          </w:p>
        </w:tc>
      </w:tr>
      <w:tr w:rsidR="003B67A4" w:rsidRPr="003B67A4" w:rsidTr="003B67A4">
        <w:trPr>
          <w:trHeight w:val="285"/>
        </w:trPr>
        <w:tc>
          <w:tcPr>
            <w:tcW w:w="2895" w:type="dxa"/>
            <w:noWrap/>
            <w:vAlign w:val="center"/>
            <w:hideMark/>
          </w:tcPr>
          <w:p w:rsidR="003B67A4" w:rsidRPr="003B67A4" w:rsidRDefault="003B67A4" w:rsidP="003B67A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0" w:type="dxa"/>
            <w:noWrap/>
            <w:vAlign w:val="center"/>
            <w:hideMark/>
          </w:tcPr>
          <w:p w:rsidR="003B67A4" w:rsidRPr="003B67A4" w:rsidRDefault="003B67A4" w:rsidP="003B67A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поколение Z</w:t>
            </w:r>
          </w:p>
        </w:tc>
        <w:tc>
          <w:tcPr>
            <w:tcW w:w="1950" w:type="dxa"/>
            <w:noWrap/>
            <w:vAlign w:val="center"/>
            <w:hideMark/>
          </w:tcPr>
          <w:p w:rsidR="003B67A4" w:rsidRPr="003B67A4" w:rsidRDefault="003B67A4" w:rsidP="003B67A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поколение Х</w:t>
            </w:r>
          </w:p>
        </w:tc>
        <w:tc>
          <w:tcPr>
            <w:tcW w:w="0" w:type="auto"/>
            <w:vMerge/>
            <w:vAlign w:val="center"/>
            <w:hideMark/>
          </w:tcPr>
          <w:p w:rsidR="003B67A4" w:rsidRPr="003B67A4" w:rsidRDefault="003B67A4" w:rsidP="003B6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B67A4" w:rsidRPr="003B67A4" w:rsidRDefault="003B67A4" w:rsidP="003B6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67A4" w:rsidRPr="003B67A4" w:rsidTr="003B67A4">
        <w:trPr>
          <w:trHeight w:val="285"/>
        </w:trPr>
        <w:tc>
          <w:tcPr>
            <w:tcW w:w="2895" w:type="dxa"/>
            <w:noWrap/>
            <w:vAlign w:val="center"/>
            <w:hideMark/>
          </w:tcPr>
          <w:p w:rsidR="003B67A4" w:rsidRPr="003B67A4" w:rsidRDefault="003B67A4" w:rsidP="003B67A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Вовлеченность</w:t>
            </w:r>
          </w:p>
        </w:tc>
        <w:tc>
          <w:tcPr>
            <w:tcW w:w="1950" w:type="dxa"/>
            <w:noWrap/>
            <w:vAlign w:val="center"/>
            <w:hideMark/>
          </w:tcPr>
          <w:p w:rsidR="003B67A4" w:rsidRPr="003B67A4" w:rsidRDefault="003B67A4" w:rsidP="003B67A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950" w:type="dxa"/>
            <w:noWrap/>
            <w:vAlign w:val="center"/>
            <w:hideMark/>
          </w:tcPr>
          <w:p w:rsidR="003B67A4" w:rsidRPr="003B67A4" w:rsidRDefault="003B67A4" w:rsidP="003B67A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1275" w:type="dxa"/>
            <w:noWrap/>
            <w:vAlign w:val="center"/>
            <w:hideMark/>
          </w:tcPr>
          <w:p w:rsidR="003B67A4" w:rsidRPr="003B67A4" w:rsidRDefault="003B67A4" w:rsidP="003B67A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1305" w:type="dxa"/>
            <w:noWrap/>
            <w:vAlign w:val="center"/>
            <w:hideMark/>
          </w:tcPr>
          <w:p w:rsidR="003B67A4" w:rsidRPr="003B67A4" w:rsidRDefault="003B67A4" w:rsidP="003B67A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0,000*</w:t>
            </w:r>
          </w:p>
        </w:tc>
      </w:tr>
      <w:tr w:rsidR="003B67A4" w:rsidRPr="003B67A4" w:rsidTr="003B67A4">
        <w:trPr>
          <w:trHeight w:val="285"/>
        </w:trPr>
        <w:tc>
          <w:tcPr>
            <w:tcW w:w="2895" w:type="dxa"/>
            <w:noWrap/>
            <w:vAlign w:val="center"/>
            <w:hideMark/>
          </w:tcPr>
          <w:p w:rsidR="003B67A4" w:rsidRPr="003B67A4" w:rsidRDefault="003B67A4" w:rsidP="003B67A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1950" w:type="dxa"/>
            <w:noWrap/>
            <w:vAlign w:val="center"/>
            <w:hideMark/>
          </w:tcPr>
          <w:p w:rsidR="003B67A4" w:rsidRPr="003B67A4" w:rsidRDefault="003B67A4" w:rsidP="003B67A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1950" w:type="dxa"/>
            <w:noWrap/>
            <w:vAlign w:val="center"/>
            <w:hideMark/>
          </w:tcPr>
          <w:p w:rsidR="003B67A4" w:rsidRPr="003B67A4" w:rsidRDefault="003B67A4" w:rsidP="003B67A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28,3</w:t>
            </w:r>
          </w:p>
        </w:tc>
        <w:tc>
          <w:tcPr>
            <w:tcW w:w="1275" w:type="dxa"/>
            <w:noWrap/>
            <w:vAlign w:val="center"/>
            <w:hideMark/>
          </w:tcPr>
          <w:p w:rsidR="003B67A4" w:rsidRPr="003B67A4" w:rsidRDefault="003B67A4" w:rsidP="003B67A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1170,5</w:t>
            </w:r>
          </w:p>
        </w:tc>
        <w:tc>
          <w:tcPr>
            <w:tcW w:w="1305" w:type="dxa"/>
            <w:noWrap/>
            <w:vAlign w:val="center"/>
            <w:hideMark/>
          </w:tcPr>
          <w:p w:rsidR="003B67A4" w:rsidRPr="003B67A4" w:rsidRDefault="003B67A4" w:rsidP="003B67A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0,584</w:t>
            </w:r>
          </w:p>
        </w:tc>
      </w:tr>
      <w:tr w:rsidR="003B67A4" w:rsidRPr="003B67A4" w:rsidTr="003B67A4">
        <w:trPr>
          <w:trHeight w:val="285"/>
        </w:trPr>
        <w:tc>
          <w:tcPr>
            <w:tcW w:w="2895" w:type="dxa"/>
            <w:noWrap/>
            <w:vAlign w:val="center"/>
            <w:hideMark/>
          </w:tcPr>
          <w:p w:rsidR="003B67A4" w:rsidRPr="003B67A4" w:rsidRDefault="003B67A4" w:rsidP="003B67A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риска</w:t>
            </w:r>
          </w:p>
        </w:tc>
        <w:tc>
          <w:tcPr>
            <w:tcW w:w="1950" w:type="dxa"/>
            <w:noWrap/>
            <w:vAlign w:val="center"/>
            <w:hideMark/>
          </w:tcPr>
          <w:p w:rsidR="003B67A4" w:rsidRPr="003B67A4" w:rsidRDefault="003B67A4" w:rsidP="003B67A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1950" w:type="dxa"/>
            <w:noWrap/>
            <w:vAlign w:val="center"/>
            <w:hideMark/>
          </w:tcPr>
          <w:p w:rsidR="003B67A4" w:rsidRPr="003B67A4" w:rsidRDefault="003B67A4" w:rsidP="003B67A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275" w:type="dxa"/>
            <w:noWrap/>
            <w:vAlign w:val="center"/>
            <w:hideMark/>
          </w:tcPr>
          <w:p w:rsidR="003B67A4" w:rsidRPr="003B67A4" w:rsidRDefault="003B67A4" w:rsidP="003B67A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1305" w:type="dxa"/>
            <w:noWrap/>
            <w:vAlign w:val="center"/>
            <w:hideMark/>
          </w:tcPr>
          <w:p w:rsidR="003B67A4" w:rsidRPr="003B67A4" w:rsidRDefault="003B67A4" w:rsidP="003B67A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0,000*</w:t>
            </w:r>
          </w:p>
        </w:tc>
      </w:tr>
      <w:tr w:rsidR="003B67A4" w:rsidRPr="003B67A4" w:rsidTr="003B67A4">
        <w:trPr>
          <w:trHeight w:val="285"/>
        </w:trPr>
        <w:tc>
          <w:tcPr>
            <w:tcW w:w="2895" w:type="dxa"/>
            <w:noWrap/>
            <w:vAlign w:val="center"/>
            <w:hideMark/>
          </w:tcPr>
          <w:p w:rsidR="003B67A4" w:rsidRPr="003B67A4" w:rsidRDefault="003B67A4" w:rsidP="003B67A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Жизнестойкость</w:t>
            </w:r>
          </w:p>
        </w:tc>
        <w:tc>
          <w:tcPr>
            <w:tcW w:w="1950" w:type="dxa"/>
            <w:noWrap/>
            <w:vAlign w:val="center"/>
            <w:hideMark/>
          </w:tcPr>
          <w:p w:rsidR="003B67A4" w:rsidRPr="003B67A4" w:rsidRDefault="003B67A4" w:rsidP="003B67A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1950" w:type="dxa"/>
            <w:noWrap/>
            <w:vAlign w:val="center"/>
            <w:hideMark/>
          </w:tcPr>
          <w:p w:rsidR="003B67A4" w:rsidRPr="003B67A4" w:rsidRDefault="003B67A4" w:rsidP="003B67A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</w:t>
            </w:r>
          </w:p>
        </w:tc>
        <w:tc>
          <w:tcPr>
            <w:tcW w:w="1275" w:type="dxa"/>
            <w:noWrap/>
            <w:vAlign w:val="center"/>
            <w:hideMark/>
          </w:tcPr>
          <w:p w:rsidR="003B67A4" w:rsidRPr="003B67A4" w:rsidRDefault="003B67A4" w:rsidP="003B67A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1022,5</w:t>
            </w:r>
          </w:p>
        </w:tc>
        <w:tc>
          <w:tcPr>
            <w:tcW w:w="1305" w:type="dxa"/>
            <w:noWrap/>
            <w:vAlign w:val="center"/>
            <w:hideMark/>
          </w:tcPr>
          <w:p w:rsidR="003B67A4" w:rsidRPr="003B67A4" w:rsidRDefault="003B67A4" w:rsidP="003B67A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0,117</w:t>
            </w:r>
          </w:p>
        </w:tc>
      </w:tr>
    </w:tbl>
    <w:p w:rsidR="003B67A4" w:rsidRPr="003B67A4" w:rsidRDefault="003B67A4" w:rsidP="003B67A4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484848"/>
          <w:sz w:val="23"/>
          <w:szCs w:val="23"/>
          <w:lang w:eastAsia="ru-RU"/>
        </w:rPr>
      </w:pPr>
      <w:r w:rsidRPr="003B67A4">
        <w:rPr>
          <w:rFonts w:ascii="Arial" w:eastAsia="Times New Roman" w:hAnsi="Arial" w:cs="Arial"/>
          <w:i/>
          <w:iCs/>
          <w:color w:val="484848"/>
          <w:sz w:val="23"/>
          <w:szCs w:val="23"/>
          <w:lang w:eastAsia="ru-RU"/>
        </w:rPr>
        <w:lastRenderedPageBreak/>
        <w:t>* - различия статистически достоверны (р≤0,05)</w:t>
      </w:r>
    </w:p>
    <w:p w:rsidR="003B67A4" w:rsidRPr="003B67A4" w:rsidRDefault="003B67A4" w:rsidP="003B67A4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484848"/>
          <w:sz w:val="23"/>
          <w:szCs w:val="23"/>
          <w:lang w:eastAsia="ru-RU"/>
        </w:rPr>
      </w:pPr>
      <w:r w:rsidRPr="003B67A4">
        <w:rPr>
          <w:rFonts w:ascii="Arial" w:eastAsia="Times New Roman" w:hAnsi="Arial" w:cs="Arial"/>
          <w:color w:val="484848"/>
          <w:sz w:val="23"/>
          <w:szCs w:val="23"/>
          <w:lang w:eastAsia="ru-RU"/>
        </w:rPr>
        <w:t>Анализ данных, приведенных в таблице 3, позволяет сделать следующие выводы:</w:t>
      </w:r>
    </w:p>
    <w:p w:rsidR="003B67A4" w:rsidRPr="003B67A4" w:rsidRDefault="003B67A4" w:rsidP="003B67A4">
      <w:pPr>
        <w:shd w:val="clear" w:color="auto" w:fill="FFFFFF"/>
        <w:spacing w:before="240" w:line="240" w:lineRule="auto"/>
        <w:rPr>
          <w:rFonts w:ascii="Arial" w:eastAsia="Times New Roman" w:hAnsi="Arial" w:cs="Arial"/>
          <w:color w:val="484848"/>
          <w:sz w:val="23"/>
          <w:szCs w:val="23"/>
          <w:lang w:eastAsia="ru-RU"/>
        </w:rPr>
      </w:pPr>
      <w:r w:rsidRPr="003B67A4">
        <w:rPr>
          <w:rFonts w:ascii="Arial" w:eastAsia="Times New Roman" w:hAnsi="Arial" w:cs="Arial"/>
          <w:color w:val="484848"/>
          <w:sz w:val="23"/>
          <w:szCs w:val="23"/>
          <w:lang w:eastAsia="ru-RU"/>
        </w:rPr>
        <w:t xml:space="preserve">Показатели по шкале «вовлеченность» в группе представителей поколения Х статистически значимо выше, чем в группе представителей поколения Z. Это означает, что люди зрелого возраста, по сравнению с молодежью, характеризуются более высокой вовлеченностью в происходящее, они в большей степени получают удовольствие от собственной деятельности. В то же время молодежь в большей степени, чем более зрелые люди, переживает чувство </w:t>
      </w:r>
      <w:proofErr w:type="spellStart"/>
      <w:r w:rsidRPr="003B67A4">
        <w:rPr>
          <w:rFonts w:ascii="Arial" w:eastAsia="Times New Roman" w:hAnsi="Arial" w:cs="Arial"/>
          <w:color w:val="484848"/>
          <w:sz w:val="23"/>
          <w:szCs w:val="23"/>
          <w:lang w:eastAsia="ru-RU"/>
        </w:rPr>
        <w:t>отвергнутости</w:t>
      </w:r>
      <w:proofErr w:type="spellEnd"/>
      <w:r w:rsidRPr="003B67A4">
        <w:rPr>
          <w:rFonts w:ascii="Arial" w:eastAsia="Times New Roman" w:hAnsi="Arial" w:cs="Arial"/>
          <w:color w:val="484848"/>
          <w:sz w:val="23"/>
          <w:szCs w:val="23"/>
          <w:lang w:eastAsia="ru-RU"/>
        </w:rPr>
        <w:t>, ощущение себя «вне» жизни. Такой результат связан с психологическими особенностями возрастов: молодые люди еще не нашли своего места в жизни, что обуславливает их недостаточную вовлеченность в происходящее, в то же время зрелые люди в значительной степени укоренены в жизни, что позволяет им быть на более высоком уровне вовлеченности.</w:t>
      </w:r>
    </w:p>
    <w:p w:rsidR="003B67A4" w:rsidRPr="003B67A4" w:rsidRDefault="003B67A4" w:rsidP="003B67A4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666666"/>
          <w:sz w:val="23"/>
          <w:szCs w:val="23"/>
          <w:lang w:eastAsia="ru-RU"/>
        </w:rPr>
      </w:pPr>
      <w:r w:rsidRPr="003B67A4">
        <w:rPr>
          <w:rFonts w:ascii="Arial" w:eastAsia="Times New Roman" w:hAnsi="Arial" w:cs="Arial"/>
          <w:color w:val="666666"/>
          <w:sz w:val="23"/>
          <w:szCs w:val="23"/>
          <w:lang w:eastAsia="ru-RU"/>
        </w:rPr>
        <w:t>Теги: </w:t>
      </w:r>
      <w:hyperlink r:id="rId5" w:history="1">
        <w:r w:rsidRPr="003B67A4">
          <w:rPr>
            <w:rFonts w:ascii="Arial" w:eastAsia="Times New Roman" w:hAnsi="Arial" w:cs="Arial"/>
            <w:color w:val="0F4BB4"/>
            <w:sz w:val="20"/>
            <w:szCs w:val="20"/>
            <w:u w:val="single"/>
            <w:lang w:eastAsia="ru-RU"/>
          </w:rPr>
          <w:t>Личность</w:t>
        </w:r>
      </w:hyperlink>
    </w:p>
    <w:p w:rsidR="00FC131C" w:rsidRDefault="00FC131C"/>
    <w:sectPr w:rsidR="00FC1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2198A"/>
    <w:multiLevelType w:val="multilevel"/>
    <w:tmpl w:val="0F324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BB2546A"/>
    <w:multiLevelType w:val="multilevel"/>
    <w:tmpl w:val="72D60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60E"/>
    <w:rsid w:val="003B67A4"/>
    <w:rsid w:val="00F0504B"/>
    <w:rsid w:val="00FA160E"/>
    <w:rsid w:val="00FC1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E70C9"/>
  <w15:chartTrackingRefBased/>
  <w15:docId w15:val="{E95A57DA-27B8-42A3-962A-30CF64E33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09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96534">
          <w:marLeft w:val="0"/>
          <w:marRight w:val="0"/>
          <w:marTop w:val="0"/>
          <w:marBottom w:val="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7612">
          <w:marLeft w:val="0"/>
          <w:marRight w:val="0"/>
          <w:marTop w:val="0"/>
          <w:marBottom w:val="0"/>
          <w:divBdr>
            <w:top w:val="single" w:sz="6" w:space="6" w:color="C5C5C5"/>
            <w:left w:val="single" w:sz="6" w:space="16" w:color="C5C5C5"/>
            <w:bottom w:val="single" w:sz="6" w:space="8" w:color="C5C5C5"/>
            <w:right w:val="single" w:sz="6" w:space="16" w:color="C5C5C5"/>
          </w:divBdr>
        </w:div>
      </w:divsChild>
    </w:div>
    <w:div w:id="21452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8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6625">
          <w:marLeft w:val="0"/>
          <w:marRight w:val="0"/>
          <w:marTop w:val="25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996761">
              <w:marLeft w:val="0"/>
              <w:marRight w:val="0"/>
              <w:marTop w:val="25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9059">
                  <w:marLeft w:val="0"/>
                  <w:marRight w:val="0"/>
                  <w:marTop w:val="0"/>
                  <w:marBottom w:val="8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ip-psi.ru/psikhologicheskiye-testy/tag/%D0%9B%D0%B8%D1%87%D0%BD%D0%BE%D1%81%D1%82%D1%8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668</Words>
  <Characters>3809</Characters>
  <Application>Microsoft Office Word</Application>
  <DocSecurity>0</DocSecurity>
  <Lines>31</Lines>
  <Paragraphs>8</Paragraphs>
  <ScaleCrop>false</ScaleCrop>
  <Company/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Писарева Евгения Владиславовна</dc:creator>
  <cp:keywords/>
  <dc:description/>
  <cp:lastModifiedBy>Писарева Евгения Владиславовна</cp:lastModifiedBy>
  <cp:revision>4</cp:revision>
  <dcterms:created xsi:type="dcterms:W3CDTF">2022-01-24T15:19:00Z</dcterms:created>
  <dcterms:modified xsi:type="dcterms:W3CDTF">2022-03-12T07:14:00Z</dcterms:modified>
</cp:coreProperties>
</file>